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color w:val="FF0000"/>
          <w:sz w:val="84"/>
          <w:szCs w:val="84"/>
        </w:rPr>
      </w:pPr>
      <w:r>
        <w:rPr>
          <w:b/>
          <w:color w:val="FF0000"/>
          <w:sz w:val="84"/>
          <w:szCs w:val="84"/>
        </w:rPr>
        <w:t>兰州大学化学化工学院</w:t>
      </w:r>
    </w:p>
    <w:p>
      <w:pPr>
        <w:jc w:val="center"/>
        <w:rPr>
          <w:b/>
          <w:sz w:val="22"/>
        </w:rPr>
      </w:pPr>
      <w:r>
        <w:rPr>
          <w:b/>
          <w:color w:val="FF0000"/>
          <w:sz w:val="84"/>
          <w:szCs w:val="84"/>
        </w:rPr>
        <w:pict>
          <v:shape id="AutoShape 3" o:spid="_x0000_s1026" o:spt="32" type="#_x0000_t32" style="position:absolute;left:0pt;margin-left:-6.65pt;margin-top:2.2pt;height:0pt;width:444.75pt;z-index:25165926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">
            <v:path arrowok="t"/>
            <v:fill on="f" focussize="0,0"/>
            <v:stroke weight="2pt" color="#FF0000"/>
            <v:imagedata o:title=""/>
            <o:lock v:ext="edit"/>
          </v:shape>
        </w:pict>
      </w:r>
    </w:p>
    <w:p>
      <w:pPr>
        <w:jc w:val="center"/>
        <w:rPr>
          <w:rFonts w:ascii="方正小标宋_GBK" w:eastAsia="方正小标宋_GBK"/>
          <w:b/>
          <w:sz w:val="44"/>
          <w:szCs w:val="44"/>
        </w:rPr>
      </w:pPr>
      <w:r>
        <w:rPr>
          <w:rFonts w:hint="eastAsia" w:ascii="方正小标宋_GBK" w:eastAsia="方正小标宋_GBK"/>
          <w:b/>
          <w:sz w:val="44"/>
          <w:szCs w:val="44"/>
        </w:rPr>
        <w:t>化学化工学院实验室安全工作简报</w:t>
      </w:r>
    </w:p>
    <w:p>
      <w:pPr>
        <w:jc w:val="center"/>
        <w:rPr>
          <w:b/>
          <w:sz w:val="28"/>
        </w:rPr>
      </w:pPr>
      <w:r>
        <w:rPr>
          <w:rFonts w:hint="eastAsia"/>
          <w:b/>
          <w:sz w:val="28"/>
        </w:rPr>
        <w:t>202</w:t>
      </w:r>
      <w:r>
        <w:rPr>
          <w:rFonts w:hint="eastAsia"/>
          <w:b/>
          <w:sz w:val="28"/>
          <w:lang w:val="en-US" w:eastAsia="zh-CN"/>
        </w:rPr>
        <w:t>4</w:t>
      </w:r>
      <w:r>
        <w:rPr>
          <w:rFonts w:hint="eastAsia"/>
          <w:b/>
          <w:sz w:val="28"/>
        </w:rPr>
        <w:t>年第</w:t>
      </w:r>
      <w:r>
        <w:rPr>
          <w:rFonts w:hint="eastAsia"/>
          <w:b/>
          <w:sz w:val="28"/>
          <w:lang w:val="en-US" w:eastAsia="zh-CN"/>
        </w:rPr>
        <w:t>1</w:t>
      </w:r>
      <w:r>
        <w:rPr>
          <w:rFonts w:hint="eastAsia"/>
          <w:b/>
          <w:sz w:val="28"/>
        </w:rPr>
        <w:t>期</w:t>
      </w:r>
    </w:p>
    <w:p>
      <w:pPr>
        <w:jc w:val="center"/>
        <w:rPr>
          <w:b/>
          <w:sz w:val="28"/>
        </w:rPr>
      </w:pPr>
    </w:p>
    <w:p>
      <w:pPr>
        <w:ind w:firstLine="540"/>
        <w:jc w:val="left"/>
        <w:rPr>
          <w:rFonts w:hint="eastAsia" w:ascii="仿宋" w:hAnsi="仿宋" w:eastAsia="仿宋"/>
          <w:sz w:val="34"/>
          <w:szCs w:val="34"/>
          <w:lang w:val="en-US" w:eastAsia="zh-CN"/>
        </w:rPr>
      </w:pPr>
      <w:r>
        <w:rPr>
          <w:rFonts w:hint="eastAsia" w:ascii="仿宋" w:hAnsi="仿宋" w:eastAsia="仿宋"/>
          <w:sz w:val="34"/>
          <w:szCs w:val="34"/>
        </w:rPr>
        <w:t>一、202</w:t>
      </w:r>
      <w:r>
        <w:rPr>
          <w:rFonts w:hint="eastAsia" w:ascii="仿宋" w:hAnsi="仿宋" w:eastAsia="仿宋"/>
          <w:sz w:val="34"/>
          <w:szCs w:val="34"/>
          <w:lang w:val="en-US" w:eastAsia="zh-CN"/>
        </w:rPr>
        <w:t>4</w:t>
      </w:r>
      <w:r>
        <w:rPr>
          <w:rFonts w:hint="eastAsia" w:ascii="仿宋" w:hAnsi="仿宋" w:eastAsia="仿宋"/>
          <w:sz w:val="34"/>
          <w:szCs w:val="34"/>
        </w:rPr>
        <w:t>年</w:t>
      </w:r>
      <w:r>
        <w:rPr>
          <w:rFonts w:hint="eastAsia" w:ascii="仿宋" w:hAnsi="仿宋" w:eastAsia="仿宋"/>
          <w:sz w:val="34"/>
          <w:szCs w:val="34"/>
          <w:lang w:val="en-US" w:eastAsia="zh-CN"/>
        </w:rPr>
        <w:t>1月</w:t>
      </w:r>
      <w:r>
        <w:rPr>
          <w:rFonts w:hint="eastAsia" w:ascii="仿宋" w:hAnsi="仿宋" w:eastAsia="仿宋"/>
          <w:sz w:val="34"/>
          <w:szCs w:val="34"/>
        </w:rPr>
        <w:t>，学校实验室与设备管理处组织各学院</w:t>
      </w:r>
      <w:r>
        <w:rPr>
          <w:rFonts w:hint="eastAsia" w:ascii="仿宋" w:hAnsi="仿宋" w:eastAsia="仿宋"/>
          <w:sz w:val="34"/>
          <w:szCs w:val="34"/>
          <w:lang w:val="en-US" w:eastAsia="zh-CN"/>
        </w:rPr>
        <w:t>老师</w:t>
      </w:r>
      <w:r>
        <w:rPr>
          <w:rFonts w:hint="eastAsia" w:ascii="仿宋" w:hAnsi="仿宋" w:eastAsia="仿宋"/>
          <w:sz w:val="34"/>
          <w:szCs w:val="34"/>
        </w:rPr>
        <w:t>对我院实验室进行了全面检查</w:t>
      </w:r>
      <w:r>
        <w:rPr>
          <w:rFonts w:hint="eastAsia" w:ascii="仿宋" w:hAnsi="仿宋" w:eastAsia="仿宋"/>
          <w:sz w:val="34"/>
          <w:szCs w:val="34"/>
          <w:lang w:val="en-US" w:eastAsia="zh-CN"/>
        </w:rPr>
        <w:t>，对未达标的实验室下发了整改通知书。化学化工学院在接到关于实验室安全检查的结果后，在学院第二化学楼电子屏幕和学院安全员管理群对存在安全隐患和有失规范的实验室进行了通报批评，并责令存在问题的所有实验室在规定时间内完成整改，学院也进行了统一验收。结果如下：</w:t>
      </w:r>
    </w:p>
    <w:tbl>
      <w:tblPr>
        <w:tblStyle w:val="5"/>
        <w:tblpPr w:leftFromText="180" w:rightFromText="180" w:vertAnchor="text" w:tblpXSpec="center" w:tblpY="1"/>
        <w:tblOverlap w:val="never"/>
        <w:tblW w:w="9002"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0" w:type="dxa"/>
          <w:left w:w="60" w:type="dxa"/>
          <w:bottom w:w="60" w:type="dxa"/>
          <w:right w:w="60" w:type="dxa"/>
        </w:tblCellMar>
      </w:tblPr>
      <w:tblGrid>
        <w:gridCol w:w="622"/>
        <w:gridCol w:w="1612"/>
        <w:gridCol w:w="798"/>
        <w:gridCol w:w="1842"/>
        <w:gridCol w:w="2064"/>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cantSplit/>
          <w:tblHeader/>
          <w:tblCellSpacing w:w="0" w:type="dxa"/>
        </w:trPr>
        <w:tc>
          <w:tcPr>
            <w:tcW w:w="622" w:type="dxa"/>
            <w:noWrap/>
            <w:vAlign w:val="center"/>
          </w:tcPr>
          <w:p>
            <w:pPr>
              <w:jc w:val="center"/>
              <w:rPr>
                <w:b/>
                <w:bCs/>
              </w:rPr>
            </w:pPr>
            <w:r>
              <w:rPr>
                <w:rFonts w:hint="eastAsia"/>
                <w:b/>
                <w:bCs/>
              </w:rPr>
              <w:t>序号</w:t>
            </w:r>
          </w:p>
        </w:tc>
        <w:tc>
          <w:tcPr>
            <w:tcW w:w="1612" w:type="dxa"/>
            <w:noWrap/>
            <w:vAlign w:val="center"/>
          </w:tcPr>
          <w:p>
            <w:pPr>
              <w:jc w:val="center"/>
              <w:rPr>
                <w:b/>
                <w:bCs/>
              </w:rPr>
            </w:pPr>
            <w:r>
              <w:rPr>
                <w:rFonts w:hint="eastAsia"/>
                <w:b/>
                <w:bCs/>
              </w:rPr>
              <w:t>实验室名称</w:t>
            </w:r>
          </w:p>
        </w:tc>
        <w:tc>
          <w:tcPr>
            <w:tcW w:w="798" w:type="dxa"/>
            <w:noWrap/>
            <w:vAlign w:val="center"/>
          </w:tcPr>
          <w:p>
            <w:pPr>
              <w:jc w:val="center"/>
              <w:rPr>
                <w:b/>
                <w:bCs/>
              </w:rPr>
            </w:pPr>
            <w:r>
              <w:rPr>
                <w:rFonts w:hint="eastAsia"/>
                <w:b/>
                <w:bCs/>
              </w:rPr>
              <w:t>负责人</w:t>
            </w:r>
          </w:p>
        </w:tc>
        <w:tc>
          <w:tcPr>
            <w:tcW w:w="1842" w:type="dxa"/>
            <w:noWrap/>
            <w:vAlign w:val="center"/>
          </w:tcPr>
          <w:p>
            <w:pPr>
              <w:jc w:val="center"/>
              <w:rPr>
                <w:b/>
                <w:bCs/>
              </w:rPr>
            </w:pPr>
            <w:r>
              <w:rPr>
                <w:rFonts w:hint="eastAsia"/>
                <w:b/>
                <w:bCs/>
              </w:rPr>
              <w:t>存在隐患</w:t>
            </w:r>
          </w:p>
        </w:tc>
        <w:tc>
          <w:tcPr>
            <w:tcW w:w="2064" w:type="dxa"/>
            <w:noWrap/>
            <w:vAlign w:val="center"/>
          </w:tcPr>
          <w:p>
            <w:pPr>
              <w:jc w:val="center"/>
              <w:rPr>
                <w:b/>
                <w:bCs/>
              </w:rPr>
            </w:pPr>
            <w:r>
              <w:rPr>
                <w:rFonts w:hint="eastAsia"/>
                <w:b/>
                <w:bCs/>
              </w:rPr>
              <w:t>隐患照片</w:t>
            </w:r>
          </w:p>
        </w:tc>
        <w:tc>
          <w:tcPr>
            <w:tcW w:w="2064" w:type="dxa"/>
            <w:noWrap/>
            <w:vAlign w:val="center"/>
          </w:tcPr>
          <w:p>
            <w:pPr>
              <w:jc w:val="center"/>
              <w:rPr>
                <w:rFonts w:hint="default" w:eastAsia="宋体"/>
                <w:b/>
                <w:bCs/>
                <w:lang w:val="en-US" w:eastAsia="zh-CN"/>
              </w:rPr>
            </w:pPr>
            <w:r>
              <w:rPr>
                <w:rFonts w:hint="eastAsia"/>
                <w:b/>
                <w:bCs/>
                <w:lang w:val="en-US" w:eastAsia="zh-CN"/>
              </w:rPr>
              <w:t>整改后照片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cantSplit/>
          <w:trHeight w:val="1901" w:hRule="atLeast"/>
          <w:tblCellSpacing w:w="0" w:type="dxa"/>
        </w:trPr>
        <w:tc>
          <w:tcPr>
            <w:tcW w:w="622" w:type="dxa"/>
            <w:vAlign w:val="center"/>
          </w:tcPr>
          <w:p>
            <w:pPr>
              <w:wordWrap w:val="0"/>
              <w:jc w:val="center"/>
            </w:pPr>
            <w:r>
              <w:rPr>
                <w:rFonts w:hint="eastAsia"/>
              </w:rPr>
              <w:t>1</w:t>
            </w:r>
          </w:p>
        </w:tc>
        <w:tc>
          <w:tcPr>
            <w:tcW w:w="1612" w:type="dxa"/>
            <w:vAlign w:val="center"/>
          </w:tcPr>
          <w:p>
            <w:pPr>
              <w:wordWrap w:val="0"/>
              <w:jc w:val="center"/>
            </w:pPr>
            <w:r>
              <w:t>第二化学楼613</w:t>
            </w:r>
          </w:p>
        </w:tc>
        <w:tc>
          <w:tcPr>
            <w:tcW w:w="798" w:type="dxa"/>
            <w:vAlign w:val="center"/>
          </w:tcPr>
          <w:p>
            <w:pPr>
              <w:wordWrap w:val="0"/>
              <w:jc w:val="center"/>
            </w:pPr>
            <w:r>
              <w:t>黄国生</w:t>
            </w:r>
          </w:p>
        </w:tc>
        <w:tc>
          <w:tcPr>
            <w:tcW w:w="1842" w:type="dxa"/>
            <w:vAlign w:val="center"/>
          </w:tcPr>
          <w:p>
            <w:pPr>
              <w:wordWrap w:val="0"/>
              <w:jc w:val="center"/>
            </w:pPr>
            <w:r>
              <w:t>废旧试剂过多，</w:t>
            </w:r>
            <w:r>
              <w:rPr>
                <w:rFonts w:hint="eastAsia"/>
              </w:rPr>
              <w:t>实验室</w:t>
            </w:r>
            <w:r>
              <w:t>试剂存放混乱</w:t>
            </w:r>
          </w:p>
        </w:tc>
        <w:tc>
          <w:tcPr>
            <w:tcW w:w="2064" w:type="dxa"/>
            <w:vAlign w:val="center"/>
          </w:tcPr>
          <w:p>
            <w:pPr>
              <w:wordWrap w:val="0"/>
            </w:pPr>
            <w:r>
              <w:drawing>
                <wp:inline distT="0" distB="0" distL="0" distR="0">
                  <wp:extent cx="1198880" cy="1156970"/>
                  <wp:effectExtent l="0" t="0" r="1270" b="5080"/>
                  <wp:docPr id="8" name="图片 8" descr="C:\Users\RedGene\Documents\WeChat Files\wxid_wwy5cplvrpn721\FileStorage\Temp\844adff198795009cea18048879ff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RedGene\Documents\WeChat Files\wxid_wwy5cplvrpn721\FileStorage\Temp\844adff198795009cea18048879ffb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207927" cy="1166328"/>
                          </a:xfrm>
                          <a:prstGeom prst="rect">
                            <a:avLst/>
                          </a:prstGeom>
                          <a:noFill/>
                          <a:ln>
                            <a:noFill/>
                          </a:ln>
                        </pic:spPr>
                      </pic:pic>
                    </a:graphicData>
                  </a:graphic>
                </wp:inline>
              </w:drawing>
            </w:r>
          </w:p>
        </w:tc>
        <w:tc>
          <w:tcPr>
            <w:tcW w:w="2064" w:type="dxa"/>
            <w:vAlign w:val="center"/>
          </w:tcPr>
          <w:p>
            <w:pPr>
              <w:wordWrap w:val="0"/>
            </w:pPr>
            <w:r>
              <w:drawing>
                <wp:inline distT="0" distB="0" distL="114300" distR="114300">
                  <wp:extent cx="1219200" cy="1142365"/>
                  <wp:effectExtent l="0" t="0" r="0" b="635"/>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pic:cNvPicPr>
                            <a:picLocks noChangeAspect="1"/>
                          </pic:cNvPicPr>
                        </pic:nvPicPr>
                        <pic:blipFill>
                          <a:blip r:embed="rId5"/>
                          <a:stretch>
                            <a:fillRect/>
                          </a:stretch>
                        </pic:blipFill>
                        <pic:spPr>
                          <a:xfrm>
                            <a:off x="0" y="0"/>
                            <a:ext cx="1219200" cy="114236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cantSplit/>
          <w:trHeight w:val="1901" w:hRule="atLeast"/>
          <w:tblCellSpacing w:w="0" w:type="dxa"/>
        </w:trPr>
        <w:tc>
          <w:tcPr>
            <w:tcW w:w="622" w:type="dxa"/>
            <w:vAlign w:val="center"/>
          </w:tcPr>
          <w:p>
            <w:pPr>
              <w:wordWrap w:val="0"/>
              <w:jc w:val="center"/>
            </w:pPr>
            <w:r>
              <w:rPr>
                <w:rFonts w:hint="eastAsia"/>
              </w:rPr>
              <w:t>2</w:t>
            </w:r>
          </w:p>
        </w:tc>
        <w:tc>
          <w:tcPr>
            <w:tcW w:w="1612" w:type="dxa"/>
            <w:vAlign w:val="center"/>
          </w:tcPr>
          <w:p>
            <w:pPr>
              <w:wordWrap w:val="0"/>
              <w:jc w:val="center"/>
            </w:pPr>
            <w:r>
              <w:t>第二化学楼613</w:t>
            </w:r>
          </w:p>
        </w:tc>
        <w:tc>
          <w:tcPr>
            <w:tcW w:w="798" w:type="dxa"/>
            <w:vAlign w:val="center"/>
          </w:tcPr>
          <w:p>
            <w:pPr>
              <w:wordWrap w:val="0"/>
              <w:jc w:val="center"/>
            </w:pPr>
            <w:r>
              <w:t>黄国生</w:t>
            </w:r>
          </w:p>
        </w:tc>
        <w:tc>
          <w:tcPr>
            <w:tcW w:w="1842" w:type="dxa"/>
            <w:vAlign w:val="center"/>
          </w:tcPr>
          <w:p>
            <w:pPr>
              <w:wordWrap w:val="0"/>
              <w:jc w:val="center"/>
            </w:pPr>
            <w:r>
              <w:rPr>
                <w:rFonts w:hint="eastAsia"/>
              </w:rPr>
              <w:t>插线板置于通风橱内</w:t>
            </w:r>
          </w:p>
        </w:tc>
        <w:tc>
          <w:tcPr>
            <w:tcW w:w="2064" w:type="dxa"/>
            <w:vAlign w:val="center"/>
          </w:tcPr>
          <w:p>
            <w:pPr>
              <w:wordWrap w:val="0"/>
              <w:jc w:val="center"/>
            </w:pPr>
            <w:r>
              <w:drawing>
                <wp:inline distT="0" distB="0" distL="0" distR="0">
                  <wp:extent cx="1203960" cy="1167130"/>
                  <wp:effectExtent l="0" t="0" r="15240" b="13970"/>
                  <wp:docPr id="9" name="图片 9" descr="C:\Users\RedGene\Documents\WeChat Files\wxid_wwy5cplvrpn721\FileStorage\Temp\8b3155abbdbca92937c4ce4eab476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RedGene\Documents\WeChat Files\wxid_wwy5cplvrpn721\FileStorage\Temp\8b3155abbdbca92937c4ce4eab4764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11587" cy="1174714"/>
                          </a:xfrm>
                          <a:prstGeom prst="rect">
                            <a:avLst/>
                          </a:prstGeom>
                          <a:noFill/>
                          <a:ln>
                            <a:noFill/>
                          </a:ln>
                        </pic:spPr>
                      </pic:pic>
                    </a:graphicData>
                  </a:graphic>
                </wp:inline>
              </w:drawing>
            </w:r>
          </w:p>
        </w:tc>
        <w:tc>
          <w:tcPr>
            <w:tcW w:w="2064" w:type="dxa"/>
            <w:vAlign w:val="center"/>
          </w:tcPr>
          <w:p>
            <w:pPr>
              <w:wordWrap w:val="0"/>
              <w:jc w:val="center"/>
            </w:pPr>
            <w:r>
              <w:drawing>
                <wp:inline distT="0" distB="0" distL="114300" distR="114300">
                  <wp:extent cx="1219200" cy="1172845"/>
                  <wp:effectExtent l="0" t="0" r="0" b="8255"/>
                  <wp:docPr id="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
                          <pic:cNvPicPr>
                            <a:picLocks noChangeAspect="1"/>
                          </pic:cNvPicPr>
                        </pic:nvPicPr>
                        <pic:blipFill>
                          <a:blip r:embed="rId7"/>
                          <a:stretch>
                            <a:fillRect/>
                          </a:stretch>
                        </pic:blipFill>
                        <pic:spPr>
                          <a:xfrm>
                            <a:off x="0" y="0"/>
                            <a:ext cx="1219200" cy="117284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cantSplit/>
          <w:trHeight w:val="1901" w:hRule="atLeast"/>
          <w:tblCellSpacing w:w="0" w:type="dxa"/>
        </w:trPr>
        <w:tc>
          <w:tcPr>
            <w:tcW w:w="622" w:type="dxa"/>
            <w:vAlign w:val="center"/>
          </w:tcPr>
          <w:p>
            <w:pPr>
              <w:wordWrap w:val="0"/>
              <w:jc w:val="center"/>
            </w:pPr>
            <w:r>
              <w:rPr>
                <w:rFonts w:hint="eastAsia"/>
              </w:rPr>
              <w:t>3</w:t>
            </w:r>
          </w:p>
        </w:tc>
        <w:tc>
          <w:tcPr>
            <w:tcW w:w="1612" w:type="dxa"/>
            <w:vAlign w:val="center"/>
          </w:tcPr>
          <w:p>
            <w:pPr>
              <w:wordWrap w:val="0"/>
              <w:jc w:val="center"/>
            </w:pPr>
            <w:r>
              <w:t>第二化学楼620</w:t>
            </w:r>
          </w:p>
        </w:tc>
        <w:tc>
          <w:tcPr>
            <w:tcW w:w="798" w:type="dxa"/>
            <w:vAlign w:val="center"/>
          </w:tcPr>
          <w:p>
            <w:pPr>
              <w:wordWrap w:val="0"/>
              <w:jc w:val="center"/>
            </w:pPr>
            <w:r>
              <w:t>陈小明</w:t>
            </w:r>
          </w:p>
        </w:tc>
        <w:tc>
          <w:tcPr>
            <w:tcW w:w="1842" w:type="dxa"/>
            <w:vAlign w:val="center"/>
          </w:tcPr>
          <w:p>
            <w:pPr>
              <w:wordWrap w:val="0"/>
              <w:jc w:val="center"/>
            </w:pPr>
            <w:r>
              <w:t>实验室堆积物品过多</w:t>
            </w:r>
            <w:r>
              <w:rPr>
                <w:rFonts w:hint="eastAsia"/>
              </w:rPr>
              <w:t>，</w:t>
            </w:r>
            <w:r>
              <w:t>堵塞</w:t>
            </w:r>
            <w:r>
              <w:rPr>
                <w:rFonts w:hint="eastAsia"/>
              </w:rPr>
              <w:t>消防</w:t>
            </w:r>
            <w:r>
              <w:t>通道</w:t>
            </w:r>
          </w:p>
        </w:tc>
        <w:tc>
          <w:tcPr>
            <w:tcW w:w="2064" w:type="dxa"/>
            <w:vAlign w:val="center"/>
          </w:tcPr>
          <w:p>
            <w:pPr>
              <w:wordWrap w:val="0"/>
              <w:jc w:val="center"/>
            </w:pPr>
            <w:r>
              <w:drawing>
                <wp:inline distT="0" distB="0" distL="0" distR="0">
                  <wp:extent cx="1194435" cy="1478280"/>
                  <wp:effectExtent l="0" t="0" r="5715" b="7620"/>
                  <wp:docPr id="3" name="图片 3" descr="C:\Users\RedGene\Documents\WeChat Files\wxid_wwy5cplvrpn721\FileStorage\Temp\420a5cecb3604bbd98181e44a8e33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RedGene\Documents\WeChat Files\wxid_wwy5cplvrpn721\FileStorage\Temp\420a5cecb3604bbd98181e44a8e33e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195537" cy="1479968"/>
                          </a:xfrm>
                          <a:prstGeom prst="rect">
                            <a:avLst/>
                          </a:prstGeom>
                          <a:noFill/>
                          <a:ln>
                            <a:noFill/>
                          </a:ln>
                        </pic:spPr>
                      </pic:pic>
                    </a:graphicData>
                  </a:graphic>
                </wp:inline>
              </w:drawing>
            </w:r>
          </w:p>
        </w:tc>
        <w:tc>
          <w:tcPr>
            <w:tcW w:w="2064" w:type="dxa"/>
            <w:vAlign w:val="center"/>
          </w:tcPr>
          <w:p>
            <w:pPr>
              <w:wordWrap w:val="0"/>
              <w:jc w:val="center"/>
            </w:pPr>
            <w:r>
              <w:drawing>
                <wp:inline distT="0" distB="0" distL="114300" distR="114300">
                  <wp:extent cx="1221105" cy="1461135"/>
                  <wp:effectExtent l="0" t="0" r="17145" b="5715"/>
                  <wp:docPr id="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
                          <pic:cNvPicPr>
                            <a:picLocks noChangeAspect="1"/>
                          </pic:cNvPicPr>
                        </pic:nvPicPr>
                        <pic:blipFill>
                          <a:blip r:embed="rId9"/>
                          <a:stretch>
                            <a:fillRect/>
                          </a:stretch>
                        </pic:blipFill>
                        <pic:spPr>
                          <a:xfrm>
                            <a:off x="0" y="0"/>
                            <a:ext cx="1221105" cy="146113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cantSplit/>
          <w:trHeight w:val="1901" w:hRule="atLeast"/>
          <w:tblCellSpacing w:w="0" w:type="dxa"/>
        </w:trPr>
        <w:tc>
          <w:tcPr>
            <w:tcW w:w="622" w:type="dxa"/>
            <w:vAlign w:val="center"/>
          </w:tcPr>
          <w:p>
            <w:pPr>
              <w:wordWrap w:val="0"/>
              <w:jc w:val="center"/>
            </w:pPr>
            <w:r>
              <w:rPr>
                <w:rFonts w:hint="eastAsia"/>
              </w:rPr>
              <w:t>4</w:t>
            </w:r>
          </w:p>
        </w:tc>
        <w:tc>
          <w:tcPr>
            <w:tcW w:w="1612" w:type="dxa"/>
            <w:vAlign w:val="center"/>
          </w:tcPr>
          <w:p>
            <w:pPr>
              <w:wordWrap w:val="0"/>
              <w:jc w:val="center"/>
            </w:pPr>
            <w:r>
              <w:t>第二化学楼510</w:t>
            </w:r>
          </w:p>
        </w:tc>
        <w:tc>
          <w:tcPr>
            <w:tcW w:w="798" w:type="dxa"/>
            <w:vAlign w:val="center"/>
          </w:tcPr>
          <w:p>
            <w:pPr>
              <w:wordWrap w:val="0"/>
              <w:jc w:val="center"/>
            </w:pPr>
            <w:r>
              <w:t>许鹏飞</w:t>
            </w:r>
          </w:p>
        </w:tc>
        <w:tc>
          <w:tcPr>
            <w:tcW w:w="1842" w:type="dxa"/>
            <w:vAlign w:val="center"/>
          </w:tcPr>
          <w:p>
            <w:pPr>
              <w:wordWrap w:val="0"/>
              <w:jc w:val="center"/>
            </w:pPr>
            <w:r>
              <w:t>易制毒试剂管理不规范</w:t>
            </w:r>
          </w:p>
        </w:tc>
        <w:tc>
          <w:tcPr>
            <w:tcW w:w="2064" w:type="dxa"/>
            <w:vAlign w:val="center"/>
          </w:tcPr>
          <w:p>
            <w:pPr>
              <w:wordWrap w:val="0"/>
              <w:jc w:val="center"/>
            </w:pPr>
            <w:r>
              <w:drawing>
                <wp:inline distT="0" distB="0" distL="0" distR="0">
                  <wp:extent cx="1173480" cy="1089025"/>
                  <wp:effectExtent l="0" t="0" r="7620" b="15875"/>
                  <wp:docPr id="12" name="图片 12" descr="C:\Users\RedGene\Documents\WeChat Files\wxid_wwy5cplvrpn721\FileStorage\Temp\09b36e62291ee8b807f581773ede2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RedGene\Documents\WeChat Files\wxid_wwy5cplvrpn721\FileStorage\Temp\09b36e62291ee8b807f581773ede2d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180113" cy="1095657"/>
                          </a:xfrm>
                          <a:prstGeom prst="rect">
                            <a:avLst/>
                          </a:prstGeom>
                          <a:noFill/>
                          <a:ln>
                            <a:noFill/>
                          </a:ln>
                        </pic:spPr>
                      </pic:pic>
                    </a:graphicData>
                  </a:graphic>
                </wp:inline>
              </w:drawing>
            </w:r>
          </w:p>
        </w:tc>
        <w:tc>
          <w:tcPr>
            <w:tcW w:w="2064" w:type="dxa"/>
            <w:vAlign w:val="center"/>
          </w:tcPr>
          <w:p>
            <w:pPr>
              <w:wordWrap w:val="0"/>
              <w:jc w:val="center"/>
            </w:pPr>
            <w:r>
              <w:drawing>
                <wp:inline distT="0" distB="0" distL="114300" distR="114300">
                  <wp:extent cx="1219200" cy="1076325"/>
                  <wp:effectExtent l="0" t="0" r="0" b="9525"/>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11"/>
                          <a:stretch>
                            <a:fillRect/>
                          </a:stretch>
                        </pic:blipFill>
                        <pic:spPr>
                          <a:xfrm>
                            <a:off x="0" y="0"/>
                            <a:ext cx="1219200" cy="1076325"/>
                          </a:xfrm>
                          <a:prstGeom prst="rect">
                            <a:avLst/>
                          </a:prstGeom>
                          <a:noFill/>
                          <a:ln>
                            <a:noFill/>
                          </a:ln>
                        </pic:spPr>
                      </pic:pic>
                    </a:graphicData>
                  </a:graphic>
                </wp:inline>
              </w:drawing>
            </w:r>
          </w:p>
        </w:tc>
      </w:tr>
    </w:tbl>
    <w:p>
      <w:pPr>
        <w:ind w:firstLine="540"/>
        <w:jc w:val="left"/>
        <w:rPr>
          <w:rFonts w:ascii="仿宋" w:hAnsi="仿宋" w:eastAsia="仿宋"/>
          <w:sz w:val="34"/>
          <w:szCs w:val="34"/>
        </w:rPr>
      </w:pPr>
      <w:bookmarkStart w:id="0" w:name="_GoBack"/>
      <w:bookmarkEnd w:id="0"/>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M2MGIwODMzMzQxYzRkNjZmYzU0NzQ1YzcwOTUxMzIifQ=="/>
  </w:docVars>
  <w:rsids>
    <w:rsidRoot w:val="000026DD"/>
    <w:rsid w:val="000026DD"/>
    <w:rsid w:val="0001768C"/>
    <w:rsid w:val="00114FD4"/>
    <w:rsid w:val="001514BE"/>
    <w:rsid w:val="001721B9"/>
    <w:rsid w:val="001947ED"/>
    <w:rsid w:val="001B393C"/>
    <w:rsid w:val="001D6D7E"/>
    <w:rsid w:val="001E0B72"/>
    <w:rsid w:val="001F48A9"/>
    <w:rsid w:val="00201F18"/>
    <w:rsid w:val="002176DC"/>
    <w:rsid w:val="00254CB3"/>
    <w:rsid w:val="00255CF9"/>
    <w:rsid w:val="002A2642"/>
    <w:rsid w:val="002A44CE"/>
    <w:rsid w:val="002B4752"/>
    <w:rsid w:val="002D23AA"/>
    <w:rsid w:val="002D4A4C"/>
    <w:rsid w:val="003E7BCF"/>
    <w:rsid w:val="003F08F1"/>
    <w:rsid w:val="004032B5"/>
    <w:rsid w:val="00404381"/>
    <w:rsid w:val="00437BE0"/>
    <w:rsid w:val="00453A99"/>
    <w:rsid w:val="00465551"/>
    <w:rsid w:val="004A2111"/>
    <w:rsid w:val="004B3122"/>
    <w:rsid w:val="0050211E"/>
    <w:rsid w:val="005033D7"/>
    <w:rsid w:val="005147E0"/>
    <w:rsid w:val="005221ED"/>
    <w:rsid w:val="0057565C"/>
    <w:rsid w:val="005C4FCE"/>
    <w:rsid w:val="005F225D"/>
    <w:rsid w:val="00631FAA"/>
    <w:rsid w:val="00640995"/>
    <w:rsid w:val="00696387"/>
    <w:rsid w:val="006C54EF"/>
    <w:rsid w:val="007371CF"/>
    <w:rsid w:val="00767B6D"/>
    <w:rsid w:val="007A3CFC"/>
    <w:rsid w:val="007A417D"/>
    <w:rsid w:val="007D2FF7"/>
    <w:rsid w:val="00803A31"/>
    <w:rsid w:val="008371D5"/>
    <w:rsid w:val="008E1420"/>
    <w:rsid w:val="008F2B5B"/>
    <w:rsid w:val="00915B63"/>
    <w:rsid w:val="00952E14"/>
    <w:rsid w:val="00982CCD"/>
    <w:rsid w:val="009F6CD7"/>
    <w:rsid w:val="00A40928"/>
    <w:rsid w:val="00A73089"/>
    <w:rsid w:val="00AA4271"/>
    <w:rsid w:val="00AC4E90"/>
    <w:rsid w:val="00B13829"/>
    <w:rsid w:val="00B31DAF"/>
    <w:rsid w:val="00B65408"/>
    <w:rsid w:val="00BB0F3B"/>
    <w:rsid w:val="00BD6DB9"/>
    <w:rsid w:val="00BE00F2"/>
    <w:rsid w:val="00BE06F3"/>
    <w:rsid w:val="00C367DC"/>
    <w:rsid w:val="00C46D70"/>
    <w:rsid w:val="00CB73FF"/>
    <w:rsid w:val="00D73AB5"/>
    <w:rsid w:val="00D862C7"/>
    <w:rsid w:val="00DA2040"/>
    <w:rsid w:val="00DD74E7"/>
    <w:rsid w:val="00DE304B"/>
    <w:rsid w:val="00DF6951"/>
    <w:rsid w:val="00E02155"/>
    <w:rsid w:val="00E14163"/>
    <w:rsid w:val="00E35531"/>
    <w:rsid w:val="00E975D4"/>
    <w:rsid w:val="00EC293A"/>
    <w:rsid w:val="00F253EA"/>
    <w:rsid w:val="00F26839"/>
    <w:rsid w:val="00F369A1"/>
    <w:rsid w:val="00F66D18"/>
    <w:rsid w:val="00FC5F73"/>
    <w:rsid w:val="05E1360F"/>
    <w:rsid w:val="0615599C"/>
    <w:rsid w:val="08D17472"/>
    <w:rsid w:val="0F001D39"/>
    <w:rsid w:val="1CF7625C"/>
    <w:rsid w:val="3EA850C1"/>
    <w:rsid w:val="7F9019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AutoShape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uiPriority w:val="99"/>
    <w:pPr>
      <w:ind w:left="100" w:leftChars="2500"/>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qFormat/>
    <w:uiPriority w:val="99"/>
    <w:rPr>
      <w:sz w:val="18"/>
      <w:szCs w:val="18"/>
    </w:rPr>
  </w:style>
  <w:style w:type="character" w:customStyle="1" w:styleId="8">
    <w:name w:val="页脚 Char"/>
    <w:basedOn w:val="6"/>
    <w:link w:val="3"/>
    <w:autoRedefine/>
    <w:qFormat/>
    <w:uiPriority w:val="99"/>
    <w:rPr>
      <w:sz w:val="18"/>
      <w:szCs w:val="18"/>
    </w:rPr>
  </w:style>
  <w:style w:type="character" w:customStyle="1" w:styleId="9">
    <w:name w:val="日期 Char"/>
    <w:basedOn w:val="6"/>
    <w:link w:val="2"/>
    <w:semiHidden/>
    <w:qFormat/>
    <w:uiPriority w:val="99"/>
  </w:style>
  <w:style w:type="table" w:customStyle="1" w:styleId="10">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572</Words>
  <Characters>605</Characters>
  <Lines>14</Lines>
  <Paragraphs>4</Paragraphs>
  <TotalTime>5</TotalTime>
  <ScaleCrop>false</ScaleCrop>
  <LinksUpToDate>false</LinksUpToDate>
  <CharactersWithSpaces>605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2020-10-12T02:26:00Z</dcterms:created>
  <dc:creator>Administrator</dc:creator>
  <cp:lastModifiedBy>(ಡωಡ)hiahiahia</cp:lastModifiedBy>
  <dcterms:modified xsi:type="dcterms:W3CDTF">2024-05-14T01:43:58Z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D0D15A36E1A64DE6801A5536BDFF846F</vt:lpwstr>
  </property>
</Properties>
</file>