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一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实地验收评分细则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一、设计主题：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宿舍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主题是否突出；宿舍实际设计与讲解所述主题是否相符;设计主题是否健康向上；主题是否具有特色。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二、卫生：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地面是否整洁；床铺是否整齐；门窗是否干净；阳台有无堆积杂物；宿舍整体是否整洁。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三、物品摆放：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物品摆放是否整齐;所摆设的物品是否有新颖；物品摆放是否具有创意。</w:t>
      </w:r>
    </w:p>
    <w:p>
      <w:pPr>
        <w:numPr>
          <w:ilvl w:val="0"/>
          <w:numId w:val="1"/>
        </w:num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讲解效果：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讲解人员是否礼貌；讲解是否流畅；讲解是否完整。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34338B"/>
    <w:multiLevelType w:val="singleLevel"/>
    <w:tmpl w:val="6334338B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mIzYTNlZTQxOWU0ZDY4ZmNlYmVjZDA5NDRiZmEifQ=="/>
  </w:docVars>
  <w:rsids>
    <w:rsidRoot w:val="31C50FED"/>
    <w:rsid w:val="2588736E"/>
    <w:rsid w:val="31C50FED"/>
    <w:rsid w:val="5D5201C0"/>
    <w:rsid w:val="7AB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1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2022-10-04T02:00:00Z</dcterms:created>
  <dc:creator>A labour of brick moving</dc:creator>
  <cp:lastModifiedBy>Chiao Chiao</cp:lastModifiedBy>
  <dcterms:modified xsi:type="dcterms:W3CDTF">2023-10-07T14:25:53Z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14E958E0972542CFACCFD4F7871C8963_13</vt:lpwstr>
  </property>
</Properties>
</file>