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学生会组织架构</w:t>
      </w:r>
    </w:p>
    <w:p/>
    <w:p>
      <w:r>
        <w:drawing>
          <wp:inline distT="0" distB="0" distL="114300" distR="114300">
            <wp:extent cx="5271770" cy="2022475"/>
            <wp:effectExtent l="0" t="0" r="1143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0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lang w:val="en-US" w:eastAsia="zh-CN"/>
        </w:rPr>
        <w:t>注：各部门设部门负责人2人；各部门可根据活动需要招募志愿者，招募数量由活动规模、工作量、持续时间长短等确定，活动结束，则志愿者工作随之结束。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C765F"/>
    <w:rsid w:val="7B4C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2020-10-23T08:16:00Z</dcterms:created>
  <dc:creator>admin</dc:creator>
  <cp:lastModifiedBy>admin</cp:lastModifiedBy>
  <dcterms:modified xsi:type="dcterms:W3CDTF">2020-10-23T08:20:16Z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